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Sora" w:cs="Sora" w:eastAsia="Sora" w:hAnsi="Sora"/>
          <w:b w:val="1"/>
          <w:color w:val="06b706"/>
          <w:sz w:val="36"/>
          <w:szCs w:val="36"/>
        </w:rPr>
      </w:pPr>
      <w:r w:rsidDel="00000000" w:rsidR="00000000" w:rsidRPr="00000000">
        <w:rPr>
          <w:rtl w:val="0"/>
        </w:rPr>
      </w:r>
    </w:p>
    <w:p w:rsidR="00000000" w:rsidDel="00000000" w:rsidP="00000000" w:rsidRDefault="00000000" w:rsidRPr="00000000" w14:paraId="00000002">
      <w:pPr>
        <w:spacing w:line="240" w:lineRule="auto"/>
        <w:jc w:val="center"/>
        <w:rPr>
          <w:rFonts w:ascii="Sora" w:cs="Sora" w:eastAsia="Sora" w:hAnsi="Sora"/>
          <w:b w:val="1"/>
          <w:color w:val="06b706"/>
          <w:sz w:val="36"/>
          <w:szCs w:val="36"/>
        </w:rPr>
      </w:pPr>
      <w:r w:rsidDel="00000000" w:rsidR="00000000" w:rsidRPr="00000000">
        <w:rPr>
          <w:rFonts w:ascii="Sora" w:cs="Sora" w:eastAsia="Sora" w:hAnsi="Sora"/>
          <w:b w:val="1"/>
          <w:color w:val="06b706"/>
          <w:sz w:val="36"/>
          <w:szCs w:val="36"/>
          <w:rtl w:val="0"/>
        </w:rPr>
        <w:t xml:space="preserve">Caso de estudio:</w:t>
      </w:r>
    </w:p>
    <w:p w:rsidR="00000000" w:rsidDel="00000000" w:rsidP="00000000" w:rsidRDefault="00000000" w:rsidRPr="00000000" w14:paraId="00000003">
      <w:pPr>
        <w:spacing w:line="240" w:lineRule="auto"/>
        <w:jc w:val="center"/>
        <w:rPr>
          <w:rFonts w:ascii="Sora" w:cs="Sora" w:eastAsia="Sora" w:hAnsi="Sora"/>
          <w:b w:val="1"/>
          <w:color w:val="06b706"/>
          <w:sz w:val="36"/>
          <w:szCs w:val="36"/>
        </w:rPr>
      </w:pPr>
      <w:r w:rsidDel="00000000" w:rsidR="00000000" w:rsidRPr="00000000">
        <w:rPr>
          <w:rFonts w:ascii="Sora" w:cs="Sora" w:eastAsia="Sora" w:hAnsi="Sora"/>
          <w:b w:val="1"/>
          <w:color w:val="06b706"/>
          <w:sz w:val="36"/>
          <w:szCs w:val="36"/>
          <w:rtl w:val="0"/>
        </w:rPr>
        <w:t xml:space="preserve">Autoservicio a través de kioscos. PEMEX</w:t>
      </w:r>
    </w:p>
    <w:p w:rsidR="00000000" w:rsidDel="00000000" w:rsidP="00000000" w:rsidRDefault="00000000" w:rsidRPr="00000000" w14:paraId="00000004">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Una de las principales necesidades de los trabajadores en las empresas es tener un canal de comunicación abierto, para solicitar, gestionar y proponer mejoras relacionadas con aspectos de recursos humanos. De tal forma que los canales de autoservicio de recursos humanos son herramientas tecnológicas de fácil acceso cuyo objetivo es optimizar los tiempos de respuesta en trámites administrativos, eliminar la discrecionalidad y automatizar los procesos para evitar la intervención de personas. </w:t>
      </w:r>
    </w:p>
    <w:p w:rsidR="00000000" w:rsidDel="00000000" w:rsidP="00000000" w:rsidRDefault="00000000" w:rsidRPr="00000000" w14:paraId="00000005">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La automatización de servicios relacionados con procesos de recursos humanos es uno de los factores clave para contribuir a la atención de solicitudes y necesidades de los trabajadores. </w:t>
      </w:r>
    </w:p>
    <w:p w:rsidR="00000000" w:rsidDel="00000000" w:rsidP="00000000" w:rsidRDefault="00000000" w:rsidRPr="00000000" w14:paraId="00000006">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Ante este reto es que la Dirección Corporativa de Administración de Petróleos Mexicanos, en el año de 2003, puso en operación la herramienta tecnológica para la Atención Segura de Información, Servicios y Trámites a Empleados denominada ASISTE y, posteriormente, en 2005 inició operaciones el centro de atención telefónica denominado MIS-RH (Módulo Integral de Servicios de Recursos Humanos) a través de la extensión 49-123. </w:t>
      </w:r>
    </w:p>
    <w:p w:rsidR="00000000" w:rsidDel="00000000" w:rsidP="00000000" w:rsidRDefault="00000000" w:rsidRPr="00000000" w14:paraId="00000007">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Con el objetivo de automatizar y simplificar los trámites administrativos que solicitaban los trabajadores en materia de recursos humanos, se mejoraron los tiempos de respuesta, eliminó la discrecionalidad y fomentó el autoservicio. </w:t>
      </w:r>
    </w:p>
    <w:p w:rsidR="00000000" w:rsidDel="00000000" w:rsidP="00000000" w:rsidRDefault="00000000" w:rsidRPr="00000000" w14:paraId="00000008">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Este tipo de prácticas innovadoras no se habían conceptualizado ni materializado en la empresa en el momento de su implementación; aplicaciones de esta naturaleza se integraron en una sola plataforma junto con los desarrollos existentes de las subsidiarias de PEMEX para converger en una solución institucional. Así, se respondió de una manera efectiva a los requerimientos de los empleados para conocer sus derechos laborales y simplificar trámites, se disminuyó sustancialmente el tiempo de respuesta, y se transformaron los procesos manuales de áreas de recursos humanos. </w:t>
      </w:r>
    </w:p>
    <w:p w:rsidR="00000000" w:rsidDel="00000000" w:rsidP="00000000" w:rsidRDefault="00000000" w:rsidRPr="00000000" w14:paraId="00000009">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El acceso a estas herramientas es a través de diferentes medios que facilitan la consulta y trámites a los trabajadores: </w:t>
      </w:r>
    </w:p>
    <w:p w:rsidR="00000000" w:rsidDel="00000000" w:rsidP="00000000" w:rsidRDefault="00000000" w:rsidRPr="00000000" w14:paraId="0000000A">
      <w:pPr>
        <w:numPr>
          <w:ilvl w:val="0"/>
          <w:numId w:val="2"/>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Kioscos de autoservicio: 124 módulos ASISTE tipo touch screen distribuidos estratégicamente en los centros de trabajo de la república mexicana. </w:t>
      </w:r>
    </w:p>
    <w:p w:rsidR="00000000" w:rsidDel="00000000" w:rsidP="00000000" w:rsidRDefault="00000000" w:rsidRPr="00000000" w14:paraId="0000000B">
      <w:pPr>
        <w:numPr>
          <w:ilvl w:val="0"/>
          <w:numId w:val="2"/>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Intranet: el trabajador puede tener acceso desde cualquier computadora personal a través de la red interna de Petróleos Mexicanos (</w:t>
      </w:r>
      <w:hyperlink r:id="rId7">
        <w:r w:rsidDel="00000000" w:rsidR="00000000" w:rsidRPr="00000000">
          <w:rPr>
            <w:rFonts w:ascii="Work Sans" w:cs="Work Sans" w:eastAsia="Work Sans" w:hAnsi="Work Sans"/>
            <w:color w:val="00b050"/>
            <w:u w:val="single"/>
            <w:rtl w:val="0"/>
          </w:rPr>
          <w:t xml:space="preserve">http://asiste.pemex.com</w:t>
        </w:r>
      </w:hyperlink>
      <w:r w:rsidDel="00000000" w:rsidR="00000000" w:rsidRPr="00000000">
        <w:rPr>
          <w:rFonts w:ascii="Work Sans" w:cs="Work Sans" w:eastAsia="Work Sans" w:hAnsi="Work Sans"/>
          <w:rtl w:val="0"/>
        </w:rPr>
        <w:t xml:space="preserve">). </w:t>
      </w:r>
    </w:p>
    <w:p w:rsidR="00000000" w:rsidDel="00000000" w:rsidP="00000000" w:rsidRDefault="00000000" w:rsidRPr="00000000" w14:paraId="0000000C">
      <w:pPr>
        <w:numPr>
          <w:ilvl w:val="0"/>
          <w:numId w:val="2"/>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Internet: red mundial, disponible los 365 días del año, las 24 horas del día (</w:t>
      </w:r>
      <w:hyperlink r:id="rId8">
        <w:r w:rsidDel="00000000" w:rsidR="00000000" w:rsidRPr="00000000">
          <w:rPr>
            <w:rFonts w:ascii="Work Sans" w:cs="Work Sans" w:eastAsia="Work Sans" w:hAnsi="Work Sans"/>
            <w:color w:val="00b050"/>
            <w:u w:val="single"/>
            <w:rtl w:val="0"/>
          </w:rPr>
          <w:t xml:space="preserve">www.asiste.pemex.com</w:t>
        </w:r>
      </w:hyperlink>
      <w:r w:rsidDel="00000000" w:rsidR="00000000" w:rsidRPr="00000000">
        <w:rPr>
          <w:rFonts w:ascii="Work Sans" w:cs="Work Sans" w:eastAsia="Work Sans" w:hAnsi="Work Sans"/>
          <w:rtl w:val="0"/>
        </w:rPr>
        <w:t xml:space="preserve">). </w:t>
      </w:r>
    </w:p>
    <w:p w:rsidR="00000000" w:rsidDel="00000000" w:rsidP="00000000" w:rsidRDefault="00000000" w:rsidRPr="00000000" w14:paraId="0000000D">
      <w:pPr>
        <w:numPr>
          <w:ilvl w:val="0"/>
          <w:numId w:val="2"/>
        </w:numPr>
        <w:spacing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Centro de atención telefónica denominado MIS-RH (Módulo Integral de Servicios de Recursos Humanos) a través de la extensión 49-123. </w:t>
      </w:r>
    </w:p>
    <w:p w:rsidR="00000000" w:rsidDel="00000000" w:rsidP="00000000" w:rsidRDefault="00000000" w:rsidRPr="00000000" w14:paraId="0000000E">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El desarrollo de ASISTE permitió llegar, en primera instancia, a los trabajadores activos a través de kioscos instalados en los principales centros de trabajo en el territorio nacional; posteriormente se desarrolló una página de intranet que captó un mayor número de usuarios, aquellos con acceso a una computadora dentro de las instalaciones de la empresa. </w:t>
      </w:r>
    </w:p>
    <w:p w:rsidR="00000000" w:rsidDel="00000000" w:rsidP="00000000" w:rsidRDefault="00000000" w:rsidRPr="00000000" w14:paraId="0000000F">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Dada la rápida expansión de estos servicios, se observó la necesidad de llegar a trabajadores y jubilados que pudieran hacer consultas desde su casa sin tener que desplazarse a los centros de trabajo; fue cuando se creó el MIS-RH. </w:t>
      </w:r>
    </w:p>
    <w:p w:rsidR="00000000" w:rsidDel="00000000" w:rsidP="00000000" w:rsidRDefault="00000000" w:rsidRPr="00000000" w14:paraId="00000010">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El trabajador puede obtener, en línea, información relacionada con: </w:t>
      </w:r>
    </w:p>
    <w:p w:rsidR="00000000" w:rsidDel="00000000" w:rsidP="00000000" w:rsidRDefault="00000000" w:rsidRPr="00000000" w14:paraId="00000011">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Recibos de pago </w:t>
      </w:r>
    </w:p>
    <w:p w:rsidR="00000000" w:rsidDel="00000000" w:rsidP="00000000" w:rsidRDefault="00000000" w:rsidRPr="00000000" w14:paraId="00000012">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Consulta por concepto de pago </w:t>
      </w:r>
    </w:p>
    <w:p w:rsidR="00000000" w:rsidDel="00000000" w:rsidP="00000000" w:rsidRDefault="00000000" w:rsidRPr="00000000" w14:paraId="00000013">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Saldos </w:t>
      </w:r>
    </w:p>
    <w:p w:rsidR="00000000" w:rsidDel="00000000" w:rsidP="00000000" w:rsidRDefault="00000000" w:rsidRPr="00000000" w14:paraId="00000014">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Fondo de ahorro </w:t>
      </w:r>
    </w:p>
    <w:p w:rsidR="00000000" w:rsidDel="00000000" w:rsidP="00000000" w:rsidRDefault="00000000" w:rsidRPr="00000000" w14:paraId="00000015">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Sistema del ahorro para el retiro </w:t>
      </w:r>
    </w:p>
    <w:p w:rsidR="00000000" w:rsidDel="00000000" w:rsidP="00000000" w:rsidRDefault="00000000" w:rsidRPr="00000000" w14:paraId="00000016">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Citas médicas </w:t>
      </w:r>
    </w:p>
    <w:p w:rsidR="00000000" w:rsidDel="00000000" w:rsidP="00000000" w:rsidRDefault="00000000" w:rsidRPr="00000000" w14:paraId="00000017">
      <w:pPr>
        <w:numPr>
          <w:ilvl w:val="0"/>
          <w:numId w:val="1"/>
        </w:numPr>
        <w:spacing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Incapacidades </w:t>
      </w:r>
    </w:p>
    <w:p w:rsidR="00000000" w:rsidDel="00000000" w:rsidP="00000000" w:rsidRDefault="00000000" w:rsidRPr="00000000" w14:paraId="00000018">
      <w:pPr>
        <w:spacing w:line="240" w:lineRule="auto"/>
        <w:ind w:left="0" w:firstLine="0"/>
        <w:jc w:val="both"/>
        <w:rPr>
          <w:rFonts w:ascii="Work Sans" w:cs="Work Sans" w:eastAsia="Work Sans" w:hAnsi="Work Sans"/>
        </w:rPr>
      </w:pPr>
      <w:r w:rsidDel="00000000" w:rsidR="00000000" w:rsidRPr="00000000">
        <w:rPr>
          <w:rFonts w:ascii="Work Sans" w:cs="Work Sans" w:eastAsia="Work Sans" w:hAnsi="Work Sans"/>
          <w:rtl w:val="0"/>
        </w:rPr>
        <w:t xml:space="preserve">Los trámites a realizar, de forma automática, están relacionados con: </w:t>
      </w:r>
    </w:p>
    <w:p w:rsidR="00000000" w:rsidDel="00000000" w:rsidP="00000000" w:rsidRDefault="00000000" w:rsidRPr="00000000" w14:paraId="00000019">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Comprobante anual de ingresos </w:t>
      </w:r>
    </w:p>
    <w:p w:rsidR="00000000" w:rsidDel="00000000" w:rsidP="00000000" w:rsidRDefault="00000000" w:rsidRPr="00000000" w14:paraId="0000001A">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Situación contractual (antigüedad laborada) </w:t>
      </w:r>
    </w:p>
    <w:p w:rsidR="00000000" w:rsidDel="00000000" w:rsidP="00000000" w:rsidRDefault="00000000" w:rsidRPr="00000000" w14:paraId="0000001B">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Constancia como derechohabiente </w:t>
      </w:r>
    </w:p>
    <w:p w:rsidR="00000000" w:rsidDel="00000000" w:rsidP="00000000" w:rsidRDefault="00000000" w:rsidRPr="00000000" w14:paraId="0000001C">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Préstamo y reembolso para transporte </w:t>
      </w:r>
    </w:p>
    <w:p w:rsidR="00000000" w:rsidDel="00000000" w:rsidP="00000000" w:rsidRDefault="00000000" w:rsidRPr="00000000" w14:paraId="0000001D">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Préstamo administrativo </w:t>
      </w:r>
    </w:p>
    <w:p w:rsidR="00000000" w:rsidDel="00000000" w:rsidP="00000000" w:rsidRDefault="00000000" w:rsidRPr="00000000" w14:paraId="0000001E">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Fondo de ahorro </w:t>
      </w:r>
    </w:p>
    <w:p w:rsidR="00000000" w:rsidDel="00000000" w:rsidP="00000000" w:rsidRDefault="00000000" w:rsidRPr="00000000" w14:paraId="0000001F">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Constancia anual de sueldos </w:t>
      </w:r>
    </w:p>
    <w:p w:rsidR="00000000" w:rsidDel="00000000" w:rsidP="00000000" w:rsidRDefault="00000000" w:rsidRPr="00000000" w14:paraId="00000020">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Solicitud de becas </w:t>
      </w:r>
    </w:p>
    <w:p w:rsidR="00000000" w:rsidDel="00000000" w:rsidP="00000000" w:rsidRDefault="00000000" w:rsidRPr="00000000" w14:paraId="00000021">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Registro de beneficiarios </w:t>
      </w:r>
    </w:p>
    <w:p w:rsidR="00000000" w:rsidDel="00000000" w:rsidP="00000000" w:rsidRDefault="00000000" w:rsidRPr="00000000" w14:paraId="00000022">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Declaración patrimonial </w:t>
      </w:r>
    </w:p>
    <w:p w:rsidR="00000000" w:rsidDel="00000000" w:rsidP="00000000" w:rsidRDefault="00000000" w:rsidRPr="00000000" w14:paraId="00000023">
      <w:pPr>
        <w:numPr>
          <w:ilvl w:val="0"/>
          <w:numId w:val="1"/>
        </w:numPr>
        <w:spacing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Publicación de vacantes </w:t>
      </w:r>
    </w:p>
    <w:p w:rsidR="00000000" w:rsidDel="00000000" w:rsidP="00000000" w:rsidRDefault="00000000" w:rsidRPr="00000000" w14:paraId="00000024">
      <w:pPr>
        <w:spacing w:line="240" w:lineRule="auto"/>
        <w:ind w:left="0" w:firstLine="0"/>
        <w:jc w:val="both"/>
        <w:rPr>
          <w:rFonts w:ascii="Work Sans" w:cs="Work Sans" w:eastAsia="Work Sans" w:hAnsi="Work Sans"/>
        </w:rPr>
      </w:pPr>
      <w:r w:rsidDel="00000000" w:rsidR="00000000" w:rsidRPr="00000000">
        <w:rPr>
          <w:rFonts w:ascii="Work Sans" w:cs="Work Sans" w:eastAsia="Work Sans" w:hAnsi="Work Sans"/>
          <w:rtl w:val="0"/>
        </w:rPr>
        <w:t xml:space="preserve">Dentro de los beneficios por su operación destacan: </w:t>
      </w:r>
    </w:p>
    <w:p w:rsidR="00000000" w:rsidDel="00000000" w:rsidP="00000000" w:rsidRDefault="00000000" w:rsidRPr="00000000" w14:paraId="00000025">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Transparencia en la función de recursos humanos </w:t>
      </w:r>
    </w:p>
    <w:p w:rsidR="00000000" w:rsidDel="00000000" w:rsidP="00000000" w:rsidRDefault="00000000" w:rsidRPr="00000000" w14:paraId="00000026">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Facilidad en la solicitud de trámites administrativos </w:t>
      </w:r>
    </w:p>
    <w:p w:rsidR="00000000" w:rsidDel="00000000" w:rsidP="00000000" w:rsidRDefault="00000000" w:rsidRPr="00000000" w14:paraId="00000027">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Mejora el clima organizacional </w:t>
      </w:r>
    </w:p>
    <w:p w:rsidR="00000000" w:rsidDel="00000000" w:rsidP="00000000" w:rsidRDefault="00000000" w:rsidRPr="00000000" w14:paraId="00000028">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Mejorar la imagen de la función de recursos humanos </w:t>
      </w:r>
    </w:p>
    <w:p w:rsidR="00000000" w:rsidDel="00000000" w:rsidP="00000000" w:rsidRDefault="00000000" w:rsidRPr="00000000" w14:paraId="00000029">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Esfuerzos integrales en la automatización y homologación de procesos </w:t>
      </w:r>
    </w:p>
    <w:p w:rsidR="00000000" w:rsidDel="00000000" w:rsidP="00000000" w:rsidRDefault="00000000" w:rsidRPr="00000000" w14:paraId="0000002A">
      <w:pPr>
        <w:numPr>
          <w:ilvl w:val="0"/>
          <w:numId w:val="1"/>
        </w:numPr>
        <w:spacing w:after="0" w:afterAutospacing="0"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Desarrollo de una cultura de autoservicio </w:t>
      </w:r>
    </w:p>
    <w:p w:rsidR="00000000" w:rsidDel="00000000" w:rsidP="00000000" w:rsidRDefault="00000000" w:rsidRPr="00000000" w14:paraId="0000002B">
      <w:pPr>
        <w:numPr>
          <w:ilvl w:val="0"/>
          <w:numId w:val="1"/>
        </w:numPr>
        <w:spacing w:line="240" w:lineRule="auto"/>
        <w:ind w:left="720" w:hanging="360"/>
        <w:jc w:val="both"/>
        <w:rPr>
          <w:rFonts w:ascii="Work Sans" w:cs="Work Sans" w:eastAsia="Work Sans" w:hAnsi="Work Sans"/>
          <w:u w:val="none"/>
        </w:rPr>
      </w:pPr>
      <w:r w:rsidDel="00000000" w:rsidR="00000000" w:rsidRPr="00000000">
        <w:rPr>
          <w:rFonts w:ascii="Work Sans" w:cs="Work Sans" w:eastAsia="Work Sans" w:hAnsi="Work Sans"/>
          <w:rtl w:val="0"/>
        </w:rPr>
        <w:t xml:space="preserve">Reducción en los tiempos de trámites </w:t>
      </w:r>
    </w:p>
    <w:p w:rsidR="00000000" w:rsidDel="00000000" w:rsidP="00000000" w:rsidRDefault="00000000" w:rsidRPr="00000000" w14:paraId="0000002C">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Resultados alcanzados: </w:t>
      </w:r>
    </w:p>
    <w:p w:rsidR="00000000" w:rsidDel="00000000" w:rsidP="00000000" w:rsidRDefault="00000000" w:rsidRPr="00000000" w14:paraId="0000002D">
      <w:pPr>
        <w:spacing w:line="240" w:lineRule="auto"/>
        <w:ind w:left="720" w:firstLine="0"/>
        <w:jc w:val="both"/>
        <w:rPr>
          <w:rFonts w:ascii="Work Sans" w:cs="Work Sans" w:eastAsia="Work Sans" w:hAnsi="Work Sans"/>
        </w:rPr>
      </w:pPr>
      <w:r w:rsidDel="00000000" w:rsidR="00000000" w:rsidRPr="00000000">
        <w:rPr>
          <w:rFonts w:ascii="Work Sans" w:cs="Work Sans" w:eastAsia="Work Sans" w:hAnsi="Work Sans"/>
          <w:rtl w:val="0"/>
        </w:rPr>
        <w:t xml:space="preserve">2004: Las encuestas iniciales revelaron un grado de aceptación de ASISTE del 92% entre los trabajadores, con lo que se fortaleció la administración y se posicionó al módulo ASISTE como una solución viable a los requerimientos planteados. </w:t>
      </w:r>
    </w:p>
    <w:p w:rsidR="00000000" w:rsidDel="00000000" w:rsidP="00000000" w:rsidRDefault="00000000" w:rsidRPr="00000000" w14:paraId="0000002E">
      <w:pPr>
        <w:spacing w:line="240" w:lineRule="auto"/>
        <w:ind w:left="720" w:firstLine="0"/>
        <w:jc w:val="both"/>
        <w:rPr>
          <w:rFonts w:ascii="Work Sans" w:cs="Work Sans" w:eastAsia="Work Sans" w:hAnsi="Work Sans"/>
        </w:rPr>
      </w:pPr>
      <w:r w:rsidDel="00000000" w:rsidR="00000000" w:rsidRPr="00000000">
        <w:rPr>
          <w:rFonts w:ascii="Work Sans" w:cs="Work Sans" w:eastAsia="Work Sans" w:hAnsi="Work Sans"/>
          <w:rtl w:val="0"/>
        </w:rPr>
        <w:t xml:space="preserve">2005: Se publica la versión en intranet e inicia operaciones MIS-RH. 2006: Se tuvieron en el año 2 941 767 consultas. </w:t>
      </w:r>
    </w:p>
    <w:p w:rsidR="00000000" w:rsidDel="00000000" w:rsidP="00000000" w:rsidRDefault="00000000" w:rsidRPr="00000000" w14:paraId="0000002F">
      <w:pPr>
        <w:spacing w:line="240" w:lineRule="auto"/>
        <w:ind w:left="720" w:firstLine="0"/>
        <w:jc w:val="both"/>
        <w:rPr>
          <w:rFonts w:ascii="Work Sans" w:cs="Work Sans" w:eastAsia="Work Sans" w:hAnsi="Work Sans"/>
        </w:rPr>
      </w:pPr>
      <w:r w:rsidDel="00000000" w:rsidR="00000000" w:rsidRPr="00000000">
        <w:rPr>
          <w:rFonts w:ascii="Work Sans" w:cs="Work Sans" w:eastAsia="Work Sans" w:hAnsi="Work Sans"/>
          <w:rtl w:val="0"/>
        </w:rPr>
        <w:t xml:space="preserve">2007: Se registra un total de 4 837 195 consultas. </w:t>
      </w:r>
    </w:p>
    <w:p w:rsidR="00000000" w:rsidDel="00000000" w:rsidP="00000000" w:rsidRDefault="00000000" w:rsidRPr="00000000" w14:paraId="00000030">
      <w:pPr>
        <w:spacing w:line="240" w:lineRule="auto"/>
        <w:ind w:left="720" w:firstLine="0"/>
        <w:jc w:val="both"/>
        <w:rPr>
          <w:rFonts w:ascii="Work Sans" w:cs="Work Sans" w:eastAsia="Work Sans" w:hAnsi="Work Sans"/>
        </w:rPr>
      </w:pPr>
      <w:r w:rsidDel="00000000" w:rsidR="00000000" w:rsidRPr="00000000">
        <w:rPr>
          <w:rFonts w:ascii="Work Sans" w:cs="Work Sans" w:eastAsia="Work Sans" w:hAnsi="Work Sans"/>
          <w:rtl w:val="0"/>
        </w:rPr>
        <w:t xml:space="preserve">2008: Se alcanzan 6 288 266 consultas duplicando las obtenidas en 2006. </w:t>
      </w:r>
    </w:p>
    <w:p w:rsidR="00000000" w:rsidDel="00000000" w:rsidP="00000000" w:rsidRDefault="00000000" w:rsidRPr="00000000" w14:paraId="00000031">
      <w:pPr>
        <w:spacing w:line="240" w:lineRule="auto"/>
        <w:ind w:left="720" w:firstLine="0"/>
        <w:jc w:val="both"/>
        <w:rPr>
          <w:rFonts w:ascii="Work Sans" w:cs="Work Sans" w:eastAsia="Work Sans" w:hAnsi="Work Sans"/>
        </w:rPr>
      </w:pPr>
      <w:r w:rsidDel="00000000" w:rsidR="00000000" w:rsidRPr="00000000">
        <w:rPr>
          <w:rFonts w:ascii="Work Sans" w:cs="Work Sans" w:eastAsia="Work Sans" w:hAnsi="Work Sans"/>
          <w:rtl w:val="0"/>
        </w:rPr>
        <w:t xml:space="preserve">2009: El crecimiento de autoservicios de recursos humanos sigue creciendo, se llegan a las 8 560 807 consultas. </w:t>
      </w:r>
    </w:p>
    <w:p w:rsidR="00000000" w:rsidDel="00000000" w:rsidP="00000000" w:rsidRDefault="00000000" w:rsidRPr="00000000" w14:paraId="00000032">
      <w:pPr>
        <w:spacing w:line="240" w:lineRule="auto"/>
        <w:ind w:left="720" w:firstLine="0"/>
        <w:jc w:val="both"/>
        <w:rPr>
          <w:rFonts w:ascii="Work Sans" w:cs="Work Sans" w:eastAsia="Work Sans" w:hAnsi="Work Sans"/>
        </w:rPr>
      </w:pPr>
      <w:r w:rsidDel="00000000" w:rsidR="00000000" w:rsidRPr="00000000">
        <w:rPr>
          <w:rFonts w:ascii="Work Sans" w:cs="Work Sans" w:eastAsia="Work Sans" w:hAnsi="Work Sans"/>
          <w:rtl w:val="0"/>
        </w:rPr>
        <w:t xml:space="preserve">2010: Superados los 11 millones de accesos anuales (11 253 422), la tendencia sigue al alza y la aceptación entre los trabajadores para realizar trámites en línea y vía telefónica es notoria. </w:t>
      </w:r>
    </w:p>
    <w:p w:rsidR="00000000" w:rsidDel="00000000" w:rsidP="00000000" w:rsidRDefault="00000000" w:rsidRPr="00000000" w14:paraId="00000033">
      <w:pPr>
        <w:spacing w:line="240" w:lineRule="auto"/>
        <w:ind w:left="720" w:firstLine="0"/>
        <w:jc w:val="both"/>
        <w:rPr>
          <w:rFonts w:ascii="Work Sans" w:cs="Work Sans" w:eastAsia="Work Sans" w:hAnsi="Work Sans"/>
        </w:rPr>
      </w:pPr>
      <w:r w:rsidDel="00000000" w:rsidR="00000000" w:rsidRPr="00000000">
        <w:rPr>
          <w:rFonts w:ascii="Work Sans" w:cs="Work Sans" w:eastAsia="Work Sans" w:hAnsi="Work Sans"/>
          <w:rtl w:val="0"/>
        </w:rPr>
        <w:t xml:space="preserve">2011: Desde su puesta en operación, hasta diciembre del 2011, el número acumulado de consultas realizadas es de 45 357 560. </w:t>
      </w:r>
    </w:p>
    <w:p w:rsidR="00000000" w:rsidDel="00000000" w:rsidP="00000000" w:rsidRDefault="00000000" w:rsidRPr="00000000" w14:paraId="00000034">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A medida que se incrementen los servicios y trámites que el producto autoservicios de recursos humanos brinde, se mejorará la satisfacción de la comunidad petrolera: repercutirá en personal más contento con la empresa, en un mejor clima laboral y, en consecuencia, una mayor productividad. </w:t>
      </w:r>
    </w:p>
    <w:p w:rsidR="00000000" w:rsidDel="00000000" w:rsidP="00000000" w:rsidRDefault="00000000" w:rsidRPr="00000000" w14:paraId="00000035">
      <w:pPr>
        <w:spacing w:line="240" w:lineRule="auto"/>
        <w:jc w:val="both"/>
        <w:rPr>
          <w:rFonts w:ascii="Work Sans" w:cs="Work Sans" w:eastAsia="Work Sans" w:hAnsi="Work Sans"/>
        </w:rPr>
      </w:pPr>
      <w:r w:rsidDel="00000000" w:rsidR="00000000" w:rsidRPr="00000000">
        <w:rPr>
          <w:rFonts w:ascii="Work Sans" w:cs="Work Sans" w:eastAsia="Work Sans" w:hAnsi="Work Sans"/>
          <w:rtl w:val="0"/>
        </w:rPr>
        <w:t xml:space="preserve">Con este tipo de prácticas, la Dirección Corporativa de Administración de Petróleos Mexicanos continúa coadyuvando a que la función del departamento de Recursos Humanos y Relaciones Laborales se posicione como un socio estratégico del negocio. La transparencia y mejora de los trámites y servicios de Recursos Humanos es una tarea en la que Petróleos Mexicanos se ha comprometido con sus trabajadores. </w:t>
      </w:r>
    </w:p>
    <w:p w:rsidR="00000000" w:rsidDel="00000000" w:rsidP="00000000" w:rsidRDefault="00000000" w:rsidRPr="00000000" w14:paraId="00000036">
      <w:pPr>
        <w:spacing w:line="240"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7">
      <w:pPr>
        <w:spacing w:line="240"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8">
      <w:pPr>
        <w:spacing w:line="240"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9">
      <w:pPr>
        <w:spacing w:line="240"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A">
      <w:pPr>
        <w:spacing w:line="240"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B">
      <w:pPr>
        <w:spacing w:line="240" w:lineRule="auto"/>
        <w:jc w:val="both"/>
        <w:rPr>
          <w:rFonts w:ascii="Work Sans" w:cs="Work Sans" w:eastAsia="Work Sans" w:hAnsi="Work Sans"/>
          <w:b w:val="1"/>
          <w:color w:val="00b050"/>
        </w:rPr>
      </w:pPr>
      <w:r w:rsidDel="00000000" w:rsidR="00000000" w:rsidRPr="00000000">
        <w:rPr>
          <w:rFonts w:ascii="Work Sans" w:cs="Work Sans" w:eastAsia="Work Sans" w:hAnsi="Work Sans"/>
          <w:b w:val="1"/>
          <w:color w:val="00b050"/>
          <w:rtl w:val="0"/>
        </w:rPr>
        <w:t xml:space="preserve">Referencias:</w:t>
      </w:r>
    </w:p>
    <w:p w:rsidR="00000000" w:rsidDel="00000000" w:rsidP="00000000" w:rsidRDefault="00000000" w:rsidRPr="00000000" w14:paraId="0000003C">
      <w:pPr>
        <w:spacing w:line="240" w:lineRule="auto"/>
        <w:rPr>
          <w:rFonts w:ascii="Work Sans" w:cs="Work Sans" w:eastAsia="Work Sans" w:hAnsi="Work Sans"/>
        </w:rPr>
      </w:pPr>
      <w:r w:rsidDel="00000000" w:rsidR="00000000" w:rsidRPr="00000000">
        <w:rPr>
          <w:rFonts w:ascii="Work Sans" w:cs="Work Sans" w:eastAsia="Work Sans" w:hAnsi="Work Sans"/>
          <w:rtl w:val="0"/>
        </w:rPr>
        <w:t xml:space="preserve">Murillo, M. (2012). Autoservicios-Recursos Humanos. Recuperado de </w:t>
      </w:r>
      <w:hyperlink r:id="rId9">
        <w:r w:rsidDel="00000000" w:rsidR="00000000" w:rsidRPr="00000000">
          <w:rPr>
            <w:rFonts w:ascii="Work Sans" w:cs="Work Sans" w:eastAsia="Work Sans" w:hAnsi="Work Sans"/>
            <w:color w:val="00b050"/>
            <w:u w:val="single"/>
            <w:rtl w:val="0"/>
          </w:rPr>
          <w:t xml:space="preserve">https://usp.funcionpublica.gob.mx/doctosecco/otras/67_PEMEX_SRHRL.pdf</w:t>
        </w:r>
      </w:hyperlink>
      <w:r w:rsidDel="00000000" w:rsidR="00000000" w:rsidRPr="00000000">
        <w:rPr>
          <w:rtl w:val="0"/>
        </w:rPr>
      </w:r>
    </w:p>
    <w:sectPr>
      <w:headerReference r:id="rId10" w:type="default"/>
      <w:footerReference r:id="rId11" w:type="default"/>
      <w:pgSz w:h="15840" w:w="12240" w:orient="portrait"/>
      <w:pgMar w:bottom="1134" w:top="1134" w:left="1418" w:right="1418" w:header="1134"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r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993"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-14601</wp:posOffset>
          </wp:positionH>
          <wp:positionV relativeFrom="paragraph">
            <wp:posOffset>9353550</wp:posOffset>
          </wp:positionV>
          <wp:extent cx="7793355" cy="714375"/>
          <wp:effectExtent b="0" l="0" r="0" t="0"/>
          <wp:wrapNone/>
          <wp:docPr descr="footer-03" id="28" name="image1.png"/>
          <a:graphic>
            <a:graphicData uri="http://schemas.openxmlformats.org/drawingml/2006/picture">
              <pic:pic>
                <pic:nvPicPr>
                  <pic:cNvPr descr="footer-03" id="0" name="image1.png"/>
                  <pic:cNvPicPr preferRelativeResize="0"/>
                </pic:nvPicPr>
                <pic:blipFill>
                  <a:blip r:embed="rId1"/>
                  <a:srcRect b="0" l="0" r="0" t="0"/>
                  <a:stretch>
                    <a:fillRect/>
                  </a:stretch>
                </pic:blipFill>
                <pic:spPr>
                  <a:xfrm>
                    <a:off x="0" y="0"/>
                    <a:ext cx="7793355" cy="714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-14601</wp:posOffset>
          </wp:positionH>
          <wp:positionV relativeFrom="paragraph">
            <wp:posOffset>9353550</wp:posOffset>
          </wp:positionV>
          <wp:extent cx="7793355" cy="714375"/>
          <wp:effectExtent b="0" l="0" r="0" t="0"/>
          <wp:wrapNone/>
          <wp:docPr descr="footer-03" id="27" name="image1.png"/>
          <a:graphic>
            <a:graphicData uri="http://schemas.openxmlformats.org/drawingml/2006/picture">
              <pic:pic>
                <pic:nvPicPr>
                  <pic:cNvPr descr="footer-03" id="0" name="image1.png"/>
                  <pic:cNvPicPr preferRelativeResize="0"/>
                </pic:nvPicPr>
                <pic:blipFill>
                  <a:blip r:embed="rId1"/>
                  <a:srcRect b="0" l="0" r="0" t="0"/>
                  <a:stretch>
                    <a:fillRect/>
                  </a:stretch>
                </pic:blipFill>
                <pic:spPr>
                  <a:xfrm>
                    <a:off x="0" y="0"/>
                    <a:ext cx="7793355" cy="7143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-1003299</wp:posOffset>
              </wp:positionH>
              <wp:positionV relativeFrom="paragraph">
                <wp:posOffset>266700</wp:posOffset>
              </wp:positionV>
              <wp:extent cx="8584565" cy="507365"/>
              <wp:effectExtent b="0" l="0" r="0" t="0"/>
              <wp:wrapNone/>
              <wp:docPr id="26" name=""/>
              <a:graphic>
                <a:graphicData uri="http://schemas.microsoft.com/office/word/2010/wordprocessingShape">
                  <wps:wsp>
                    <wps:cNvSpPr/>
                    <wps:cNvPr id="5" name="Shape 5"/>
                    <wps:spPr>
                      <a:xfrm>
                        <a:off x="1063243" y="3535843"/>
                        <a:ext cx="8565515" cy="488315"/>
                      </a:xfrm>
                      <a:prstGeom prst="rect">
                        <a:avLst/>
                      </a:prstGeom>
                      <a:solidFill>
                        <a:srgbClr val="06B706"/>
                      </a:solidFill>
                      <a:ln>
                        <a:noFill/>
                      </a:ln>
                    </wps:spPr>
                    <wps:txbx>
                      <w:txbxContent>
                        <w:p w:rsidR="00000000" w:rsidDel="00000000" w:rsidP="00000000" w:rsidRDefault="00000000" w:rsidRPr="00000000">
                          <w:pPr>
                            <w:spacing w:after="200" w:before="0" w:line="275.00000953674316"/>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-1003299</wp:posOffset>
              </wp:positionH>
              <wp:positionV relativeFrom="paragraph">
                <wp:posOffset>266700</wp:posOffset>
              </wp:positionV>
              <wp:extent cx="8584565" cy="507365"/>
              <wp:effectExtent b="0" l="0" r="0" t="0"/>
              <wp:wrapNone/>
              <wp:docPr id="2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8584565" cy="5073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2247900</wp:posOffset>
              </wp:positionH>
              <wp:positionV relativeFrom="paragraph">
                <wp:posOffset>215900</wp:posOffset>
              </wp:positionV>
              <wp:extent cx="1448457" cy="630555"/>
              <wp:effectExtent b="0" l="0" r="0" t="0"/>
              <wp:wrapNone/>
              <wp:docPr id="24" name=""/>
              <a:graphic>
                <a:graphicData uri="http://schemas.microsoft.com/office/word/2010/wordprocessingShape">
                  <wps:wsp>
                    <wps:cNvSpPr/>
                    <wps:cNvPr id="3" name="Shape 3"/>
                    <wps:spPr>
                      <a:xfrm>
                        <a:off x="4631297" y="3474248"/>
                        <a:ext cx="1429407" cy="61150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ora" w:cs="Sora" w:eastAsia="Sora" w:hAnsi="Sora"/>
                              <w:b w:val="0"/>
                              <w:i w:val="0"/>
                              <w:smallCaps w:val="0"/>
                              <w:strike w:val="0"/>
                              <w:color w:val="ffffff"/>
                              <w:sz w:val="28"/>
                              <w:vertAlign w:val="baseline"/>
                            </w:rPr>
                            <w:t xml:space="preserve">utel.edu.mx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2247900</wp:posOffset>
              </wp:positionH>
              <wp:positionV relativeFrom="paragraph">
                <wp:posOffset>215900</wp:posOffset>
              </wp:positionV>
              <wp:extent cx="1448457" cy="630555"/>
              <wp:effectExtent b="0" l="0" r="0" t="0"/>
              <wp:wrapNone/>
              <wp:docPr id="24"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448457" cy="6305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-461118</wp:posOffset>
          </wp:positionV>
          <wp:extent cx="1151789" cy="636104"/>
          <wp:effectExtent b="0" l="0" r="0" t="0"/>
          <wp:wrapNone/>
          <wp:docPr descr="Logotipo&#10;&#10;Descripción generada automáticamente" id="29" name="image2.png"/>
          <a:graphic>
            <a:graphicData uri="http://schemas.openxmlformats.org/drawingml/2006/picture">
              <pic:pic>
                <pic:nvPicPr>
                  <pic:cNvPr descr="Logotipo&#10;&#10;Descripción generada automáticamente" id="0" name="image2.png"/>
                  <pic:cNvPicPr preferRelativeResize="0"/>
                </pic:nvPicPr>
                <pic:blipFill>
                  <a:blip r:embed="rId1"/>
                  <a:srcRect b="0" l="0" r="0" t="0"/>
                  <a:stretch>
                    <a:fillRect/>
                  </a:stretch>
                </pic:blipFill>
                <pic:spPr>
                  <a:xfrm>
                    <a:off x="0" y="0"/>
                    <a:ext cx="1151789" cy="63610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-431799</wp:posOffset>
              </wp:positionV>
              <wp:extent cx="3944979" cy="741045"/>
              <wp:effectExtent b="0" l="0" r="0" t="0"/>
              <wp:wrapNone/>
              <wp:docPr id="23" name=""/>
              <a:graphic>
                <a:graphicData uri="http://schemas.microsoft.com/office/word/2010/wordprocessingShape">
                  <wps:wsp>
                    <wps:cNvSpPr/>
                    <wps:cNvPr id="2" name="Shape 2"/>
                    <wps:spPr>
                      <a:xfrm>
                        <a:off x="3378273" y="3414240"/>
                        <a:ext cx="3935454" cy="7315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Sora" w:cs="Sora" w:eastAsia="Sora" w:hAnsi="Sora"/>
                              <w:b w:val="1"/>
                              <w:i w:val="0"/>
                              <w:smallCaps w:val="0"/>
                              <w:strike w:val="0"/>
                              <w:color w:val="000000"/>
                              <w:sz w:val="24"/>
                              <w:vertAlign w:val="baseline"/>
                            </w:rPr>
                            <w:t xml:space="preserve">Importancia y beneficios de la tecnología en la función de capital humano</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Sora" w:cs="Sora" w:eastAsia="Sora" w:hAnsi="Sora"/>
                              <w:b w:val="1"/>
                              <w:i w:val="0"/>
                              <w:smallCaps w:val="0"/>
                              <w:strike w:val="0"/>
                              <w:color w:val="000000"/>
                              <w:sz w:val="24"/>
                              <w:vertAlign w:val="baseline"/>
                            </w:rPr>
                          </w:r>
                          <w:r w:rsidDel="00000000" w:rsidR="00000000" w:rsidRPr="00000000">
                            <w:rPr>
                              <w:rFonts w:ascii="Sora" w:cs="Sora" w:eastAsia="Sora" w:hAnsi="Sora"/>
                              <w:b w:val="1"/>
                              <w:i w:val="0"/>
                              <w:smallCaps w:val="0"/>
                              <w:strike w:val="0"/>
                              <w:color w:val="000000"/>
                              <w:sz w:val="24"/>
                              <w:vertAlign w:val="baseline"/>
                            </w:rPr>
                            <w:t xml:space="preserve">Plataformas tecnológicas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-431799</wp:posOffset>
              </wp:positionV>
              <wp:extent cx="3944979" cy="741045"/>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944979" cy="7410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-393699</wp:posOffset>
              </wp:positionV>
              <wp:extent cx="967956" cy="630555"/>
              <wp:effectExtent b="0" l="0" r="0" t="0"/>
              <wp:wrapNone/>
              <wp:docPr id="25" name=""/>
              <a:graphic>
                <a:graphicData uri="http://schemas.microsoft.com/office/word/2010/wordprocessingShape">
                  <wps:wsp>
                    <wps:cNvSpPr/>
                    <wps:cNvPr id="4" name="Shape 4"/>
                    <wps:spPr>
                      <a:xfrm>
                        <a:off x="4871547" y="3474248"/>
                        <a:ext cx="948906" cy="6115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ra" w:cs="Sora" w:eastAsia="Sora" w:hAnsi="Sora"/>
                              <w:b w:val="1"/>
                              <w:i w:val="0"/>
                              <w:smallCaps w:val="0"/>
                              <w:strike w:val="0"/>
                              <w:color w:val="06b706"/>
                              <w:sz w:val="36"/>
                              <w:vertAlign w:val="baseline"/>
                            </w:rPr>
                            <w:t xml:space="preserve">CASO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-393699</wp:posOffset>
              </wp:positionV>
              <wp:extent cx="967956" cy="630555"/>
              <wp:effectExtent b="0" l="0" r="0" t="0"/>
              <wp:wrapNone/>
              <wp:docPr id="2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967956" cy="6305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b w:val="1"/>
      <w:color w:val="00b050"/>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0" w:before="480"/>
      <w:outlineLvl w:val="0"/>
    </w:pPr>
    <w:rPr>
      <w:b w:val="1"/>
      <w:color w:val="00b050"/>
      <w:sz w:val="36"/>
      <w:szCs w:val="36"/>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rPr>
      <w:b w:val="1"/>
      <w:color w:val="00b050"/>
      <w:sz w:val="28"/>
      <w:szCs w:val="28"/>
    </w:rPr>
  </w:style>
  <w:style w:type="paragraph" w:styleId="Encabezado">
    <w:name w:val="header"/>
    <w:basedOn w:val="Normal"/>
    <w:link w:val="EncabezadoCar"/>
    <w:uiPriority w:val="99"/>
    <w:unhideWhenUsed w:val="1"/>
    <w:rsid w:val="00E9480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9480C"/>
  </w:style>
  <w:style w:type="paragraph" w:styleId="Piedepgina">
    <w:name w:val="footer"/>
    <w:basedOn w:val="Normal"/>
    <w:link w:val="PiedepginaCar"/>
    <w:uiPriority w:val="99"/>
    <w:unhideWhenUsed w:val="1"/>
    <w:rsid w:val="00E9480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9480C"/>
  </w:style>
  <w:style w:type="character" w:styleId="Hipervnculo">
    <w:name w:val="Hyperlink"/>
    <w:basedOn w:val="Fuentedeprrafopredeter"/>
    <w:uiPriority w:val="99"/>
    <w:unhideWhenUsed w:val="1"/>
    <w:rsid w:val="00526A63"/>
    <w:rPr>
      <w:color w:val="0000ff" w:themeColor="hyperlink"/>
      <w:u w:val="single"/>
    </w:rPr>
  </w:style>
  <w:style w:type="character" w:styleId="Mencinsinresolver">
    <w:name w:val="Unresolved Mention"/>
    <w:basedOn w:val="Fuentedeprrafopredeter"/>
    <w:uiPriority w:val="99"/>
    <w:semiHidden w:val="1"/>
    <w:unhideWhenUsed w:val="1"/>
    <w:rsid w:val="00526A63"/>
    <w:rPr>
      <w:color w:val="605e5c"/>
      <w:shd w:color="auto" w:fill="e1dfdd" w:val="clear"/>
    </w:rPr>
  </w:style>
  <w:style w:type="paragraph" w:styleId="Prrafodelista">
    <w:name w:val="List Paragraph"/>
    <w:basedOn w:val="Normal"/>
    <w:uiPriority w:val="34"/>
    <w:qFormat w:val="1"/>
    <w:rsid w:val="007D00F7"/>
    <w:pPr>
      <w:ind w:left="720"/>
      <w:contextualSpacing w:val="1"/>
    </w:pPr>
  </w:style>
  <w:style w:type="paragraph" w:styleId="Textonotapie">
    <w:name w:val="footnote text"/>
    <w:basedOn w:val="Normal"/>
    <w:link w:val="TextonotapieCar"/>
    <w:uiPriority w:val="99"/>
    <w:semiHidden w:val="1"/>
    <w:unhideWhenUsed w:val="1"/>
    <w:rsid w:val="009E4B9D"/>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E4B9D"/>
    <w:rPr>
      <w:sz w:val="20"/>
      <w:szCs w:val="20"/>
    </w:rPr>
  </w:style>
  <w:style w:type="character" w:styleId="Refdenotaalpie">
    <w:name w:val="footnote reference"/>
    <w:basedOn w:val="Fuentedeprrafopredeter"/>
    <w:uiPriority w:val="99"/>
    <w:semiHidden w:val="1"/>
    <w:unhideWhenUsed w:val="1"/>
    <w:rsid w:val="009E4B9D"/>
    <w:rPr>
      <w:vertAlign w:val="superscript"/>
    </w:rPr>
  </w:style>
  <w:style w:type="paragraph" w:styleId="Subtitle">
    <w:name w:val="Subtitle"/>
    <w:basedOn w:val="Normal"/>
    <w:next w:val="Normal"/>
    <w:pPr/>
    <w:rPr>
      <w:b w:val="1"/>
      <w:color w:val="00b050"/>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usp.funcionpublica.gob.mx/doctosecco/otras/67_PEMEX_SRHR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siste.pemex.com" TargetMode="External"/><Relationship Id="rId8" Type="http://schemas.openxmlformats.org/officeDocument/2006/relationships/hyperlink" Target="http://www.asiste.pemex.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 Id="rId5" Type="http://schemas.openxmlformats.org/officeDocument/2006/relationships/font" Target="fonts/Sora-regular.ttf"/><Relationship Id="rId6" Type="http://schemas.openxmlformats.org/officeDocument/2006/relationships/font" Target="fonts/Sora-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1RQJmM3kaaAP5oVKk28mYBeJKg==">AMUW2mX8EE8yt2+8kmIvilI/Gqb57gZo+OoYVdL0FKJebJYrj+5/Wlfob7PenJ42ToKCTt9tqNu5WqnKWJ4l0Z0EkMJsZgv8Oa9COA7E1yVVuNvfIP9jI3k=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2023-03-08T20:31:00Z</dcterms:created>
</cp:coreProperties>
</file>